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88AF8">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急诊科医用设备参数要求</w:t>
      </w:r>
    </w:p>
    <w:p w14:paraId="14539B3A">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val="en-US" w:eastAsia="zh-CN"/>
        </w:rPr>
        <w:t>一、便携式12道心电图机</w:t>
      </w:r>
      <w:r>
        <w:rPr>
          <w:rFonts w:hint="eastAsia" w:ascii="宋体" w:hAnsi="宋体" w:eastAsia="宋体" w:cs="宋体"/>
          <w:b/>
          <w:bCs/>
          <w:color w:val="auto"/>
          <w:sz w:val="36"/>
          <w:szCs w:val="36"/>
        </w:rPr>
        <w:t>参数</w:t>
      </w:r>
      <w:r>
        <w:rPr>
          <w:rFonts w:hint="eastAsia" w:ascii="宋体" w:hAnsi="宋体" w:eastAsia="宋体" w:cs="宋体"/>
          <w:b/>
          <w:bCs/>
          <w:color w:val="auto"/>
          <w:sz w:val="36"/>
          <w:szCs w:val="36"/>
          <w:lang w:eastAsia="zh-CN"/>
        </w:rPr>
        <w:t>要求</w:t>
      </w:r>
    </w:p>
    <w:p w14:paraId="35CCC6A2">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（一）</w:t>
      </w:r>
      <w:r>
        <w:rPr>
          <w:rFonts w:hint="eastAsia" w:ascii="仿宋" w:hAnsi="仿宋" w:eastAsia="仿宋" w:cs="仿宋"/>
          <w:b w:val="0"/>
          <w:bCs/>
          <w:color w:val="auto"/>
          <w:sz w:val="32"/>
          <w:szCs w:val="32"/>
        </w:rPr>
        <w:t>物理规格</w:t>
      </w:r>
      <w:r>
        <w:rPr>
          <w:rFonts w:hint="eastAsia" w:ascii="仿宋" w:hAnsi="仿宋" w:eastAsia="仿宋" w:cs="仿宋"/>
          <w:b w:val="0"/>
          <w:bCs/>
          <w:color w:val="auto"/>
          <w:sz w:val="32"/>
          <w:szCs w:val="32"/>
          <w:lang w:eastAsia="zh-CN"/>
        </w:rPr>
        <w:t>要求</w:t>
      </w:r>
    </w:p>
    <w:p w14:paraId="52000882">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sym w:font="Wingdings" w:char="F0AB"/>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产品重量≤1.5kg（包含电池和记录仪，不含记录纸和附件线缆）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主机轻巧便携，厚度≤60mm</w:t>
      </w:r>
    </w:p>
    <w:p w14:paraId="3EDDE159">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 xml:space="preserve"> 内置可充电锂电池，连续工作时间不少于500 份自动报告，或不少于2 小时连续记录，或不少于6 小时无记录测量</w:t>
      </w:r>
    </w:p>
    <w:p w14:paraId="507F00D4">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sym w:font="Wingdings" w:char="F0AB"/>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 </w:t>
      </w:r>
      <w:r>
        <w:rPr>
          <w:rFonts w:hint="eastAsia" w:ascii="仿宋" w:hAnsi="仿宋" w:eastAsia="仿宋" w:cs="仿宋"/>
          <w:color w:val="FF0000"/>
          <w:sz w:val="32"/>
          <w:szCs w:val="32"/>
        </w:rPr>
        <w:t>5英寸彩色液晶屏</w:t>
      </w:r>
      <w:r>
        <w:rPr>
          <w:rFonts w:hint="eastAsia" w:ascii="仿宋" w:hAnsi="仿宋" w:eastAsia="仿宋" w:cs="仿宋"/>
          <w:color w:val="FF0000"/>
          <w:sz w:val="32"/>
          <w:szCs w:val="32"/>
          <w:lang w:eastAsia="zh-CN"/>
        </w:rPr>
        <w:t>，</w:t>
      </w:r>
      <w:r>
        <w:rPr>
          <w:rFonts w:hint="eastAsia" w:ascii="仿宋" w:hAnsi="仿宋" w:eastAsia="仿宋" w:cs="仿宋"/>
          <w:color w:val="auto"/>
          <w:sz w:val="32"/>
          <w:szCs w:val="32"/>
        </w:rPr>
        <w:t>分辨率不小于800×480 pixels</w:t>
      </w:r>
    </w:p>
    <w:p w14:paraId="4A4A2BB8">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（二）</w:t>
      </w:r>
      <w:r>
        <w:rPr>
          <w:rFonts w:hint="eastAsia" w:ascii="仿宋" w:hAnsi="仿宋" w:eastAsia="仿宋" w:cs="仿宋"/>
          <w:b w:val="0"/>
          <w:bCs/>
          <w:color w:val="auto"/>
          <w:sz w:val="32"/>
          <w:szCs w:val="32"/>
        </w:rPr>
        <w:t>ECG测量规格</w:t>
      </w:r>
      <w:r>
        <w:rPr>
          <w:rFonts w:hint="eastAsia" w:ascii="仿宋" w:hAnsi="仿宋" w:eastAsia="仿宋" w:cs="仿宋"/>
          <w:b w:val="0"/>
          <w:bCs/>
          <w:color w:val="auto"/>
          <w:sz w:val="32"/>
          <w:szCs w:val="32"/>
          <w:lang w:eastAsia="zh-CN"/>
        </w:rPr>
        <w:t>要求</w:t>
      </w:r>
    </w:p>
    <w:p w14:paraId="1BD531FF">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sym w:font="Wingdings" w:char="F0AB"/>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频率响应：0.01Hz ~ 500Hz</w:t>
      </w:r>
    </w:p>
    <w:p w14:paraId="007BAE92">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FF0000"/>
          <w:sz w:val="32"/>
          <w:szCs w:val="32"/>
        </w:rPr>
      </w:pPr>
      <w:bookmarkStart w:id="0" w:name="OLE_LINK2"/>
      <w:bookmarkStart w:id="1" w:name="OLE_LINK1"/>
      <w:r>
        <w:rPr>
          <w:rFonts w:hint="eastAsia" w:ascii="仿宋" w:hAnsi="仿宋" w:eastAsia="仿宋" w:cs="仿宋"/>
          <w:color w:val="auto"/>
          <w:sz w:val="32"/>
          <w:szCs w:val="32"/>
        </w:rPr>
        <w:sym w:font="Wingdings" w:char="F0AB"/>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w:t>
      </w:r>
      <w:bookmarkEnd w:id="0"/>
      <w:bookmarkEnd w:id="1"/>
      <w:r>
        <w:rPr>
          <w:rFonts w:hint="eastAsia" w:ascii="仿宋" w:hAnsi="仿宋" w:eastAsia="仿宋" w:cs="仿宋"/>
          <w:color w:val="auto"/>
          <w:sz w:val="32"/>
          <w:szCs w:val="32"/>
        </w:rPr>
        <w:t>采样率：≥</w:t>
      </w:r>
      <w:r>
        <w:rPr>
          <w:rFonts w:hint="eastAsia" w:ascii="仿宋" w:hAnsi="仿宋" w:eastAsia="仿宋" w:cs="仿宋"/>
          <w:color w:val="FF0000"/>
          <w:sz w:val="32"/>
          <w:szCs w:val="32"/>
        </w:rPr>
        <w:t>64 kHz</w:t>
      </w:r>
    </w:p>
    <w:p w14:paraId="155A9973">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FF0000"/>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起搏器采样率：≥</w:t>
      </w:r>
      <w:r>
        <w:rPr>
          <w:rFonts w:hint="eastAsia" w:ascii="仿宋" w:hAnsi="仿宋" w:eastAsia="仿宋" w:cs="仿宋"/>
          <w:color w:val="FF0000"/>
          <w:sz w:val="32"/>
          <w:szCs w:val="32"/>
        </w:rPr>
        <w:t>96 kHz</w:t>
      </w:r>
    </w:p>
    <w:p w14:paraId="569B65BA">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输入阻抗：≥100MΩ（10Hz）</w:t>
      </w:r>
    </w:p>
    <w:p w14:paraId="417B9135">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定标电压：1mV±1%</w:t>
      </w:r>
    </w:p>
    <w:p w14:paraId="5A58CF40">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耐极化电压：≥±900mV（±5%）</w:t>
      </w:r>
    </w:p>
    <w:p w14:paraId="5ABF7D34">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sym w:font="Wingdings" w:char="F0AB"/>
      </w:r>
      <w:r>
        <w:rPr>
          <w:rFonts w:hint="eastAsia" w:ascii="仿宋" w:hAnsi="仿宋" w:eastAsia="仿宋" w:cs="仿宋"/>
          <w:color w:val="auto"/>
          <w:sz w:val="32"/>
          <w:szCs w:val="32"/>
        </w:rPr>
        <w:t>7</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内部噪声：≤12.5µVp-p</w:t>
      </w:r>
    </w:p>
    <w:p w14:paraId="0BC97707">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共模抑制比： ≥140dB（AC滤波开启） </w:t>
      </w:r>
    </w:p>
    <w:p w14:paraId="455068F8">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sym w:font="Wingdings" w:char="F0AB"/>
      </w:r>
      <w:r>
        <w:rPr>
          <w:rFonts w:hint="eastAsia" w:ascii="仿宋" w:hAnsi="仿宋" w:eastAsia="仿宋" w:cs="仿宋"/>
          <w:color w:val="auto"/>
          <w:sz w:val="32"/>
          <w:szCs w:val="32"/>
        </w:rPr>
        <w:t>9</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灵敏度选择：1.25、2.5、5、10、20、10/5、20/10、自动mm/mV ±5%</w:t>
      </w:r>
    </w:p>
    <w:p w14:paraId="0168A7BF">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 xml:space="preserve">  内置存储器支持存储≥1200 份心电图报告</w:t>
      </w:r>
    </w:p>
    <w:p w14:paraId="277760B8">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（三）</w:t>
      </w:r>
      <w:r>
        <w:rPr>
          <w:rFonts w:hint="eastAsia" w:ascii="仿宋" w:hAnsi="仿宋" w:eastAsia="仿宋" w:cs="仿宋"/>
          <w:b w:val="0"/>
          <w:bCs/>
          <w:color w:val="auto"/>
          <w:sz w:val="32"/>
          <w:szCs w:val="32"/>
        </w:rPr>
        <w:t>打印机</w:t>
      </w:r>
    </w:p>
    <w:p w14:paraId="701A5AA0">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内置高分辨率热敏式点阵打印机，最大记录通道数为4通道</w:t>
      </w:r>
    </w:p>
    <w:p w14:paraId="05252AEF">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走纸速度：5mm/s、12.5mm/s、25mm/s、50mm/s，误差不大于±5%</w:t>
      </w:r>
    </w:p>
    <w:p w14:paraId="0A454B28">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 打印分辨率：垂直分辨率≥8点/mm，水平分辨率≥32点/mm（25mm/s）</w:t>
      </w:r>
    </w:p>
    <w:p w14:paraId="64F83EB0">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p>
    <w:p w14:paraId="23E6375E">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36"/>
          <w:szCs w:val="36"/>
        </w:rPr>
      </w:pPr>
      <w:r>
        <w:rPr>
          <w:rFonts w:hint="eastAsia" w:ascii="宋体" w:hAnsi="宋体" w:eastAsia="宋体" w:cs="宋体"/>
          <w:b/>
          <w:bCs/>
          <w:sz w:val="36"/>
          <w:szCs w:val="36"/>
          <w:lang w:eastAsia="zh-CN"/>
        </w:rPr>
        <w:t>二、</w:t>
      </w:r>
      <w:r>
        <w:rPr>
          <w:rFonts w:hint="eastAsia" w:ascii="宋体" w:hAnsi="宋体" w:eastAsia="宋体" w:cs="宋体"/>
          <w:b/>
          <w:bCs/>
          <w:sz w:val="36"/>
          <w:szCs w:val="36"/>
        </w:rPr>
        <w:t>自动洗胃机</w:t>
      </w:r>
      <w:r>
        <w:rPr>
          <w:rFonts w:hint="eastAsia" w:ascii="宋体" w:hAnsi="宋体" w:eastAsia="宋体" w:cs="宋体"/>
          <w:b/>
          <w:bCs/>
          <w:sz w:val="36"/>
          <w:szCs w:val="36"/>
          <w:lang w:val="en-US" w:eastAsia="zh-CN"/>
        </w:rPr>
        <w:t>技术参数要求</w:t>
      </w:r>
    </w:p>
    <w:p w14:paraId="11D0F8F6">
      <w:pPr>
        <w:keepNext w:val="0"/>
        <w:keepLines w:val="0"/>
        <w:pageBreakBefore w:val="0"/>
        <w:widowControl w:val="0"/>
        <w:kinsoku/>
        <w:wordWrap/>
        <w:overflowPunct/>
        <w:topLinePunct w:val="0"/>
        <w:autoSpaceDE/>
        <w:autoSpaceDN/>
        <w:bidi w:val="0"/>
        <w:adjustRightInd/>
        <w:spacing w:line="400" w:lineRule="exact"/>
        <w:textAlignment w:val="auto"/>
        <w:rPr>
          <w:rFonts w:hint="eastAsia"/>
          <w:b/>
          <w:bCs/>
          <w:sz w:val="24"/>
        </w:rPr>
      </w:pPr>
    </w:p>
    <w:p w14:paraId="5ADEAB1C">
      <w:pPr>
        <w:keepNext w:val="0"/>
        <w:keepLines w:val="0"/>
        <w:pageBreakBefore w:val="0"/>
        <w:widowControl w:val="0"/>
        <w:numPr>
          <w:ilvl w:val="0"/>
          <w:numId w:val="0"/>
        </w:numPr>
        <w:kinsoku/>
        <w:wordWrap/>
        <w:overflowPunct/>
        <w:topLinePunct w:val="0"/>
        <w:autoSpaceDE/>
        <w:autoSpaceDN/>
        <w:bidi w:val="0"/>
        <w:adjustRightInd/>
        <w:spacing w:line="400" w:lineRule="exact"/>
        <w:ind w:left="420" w:leftChars="0" w:hanging="42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（一）功能要求</w:t>
      </w:r>
    </w:p>
    <w:p w14:paraId="465281D7">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1、</w:t>
      </w:r>
      <w:r>
        <w:rPr>
          <w:rFonts w:hint="eastAsia" w:ascii="仿宋" w:hAnsi="仿宋" w:eastAsia="仿宋" w:cs="仿宋"/>
          <w:b w:val="0"/>
          <w:bCs w:val="0"/>
          <w:sz w:val="32"/>
          <w:szCs w:val="32"/>
        </w:rPr>
        <w:t>自动压力反馈控制系统。</w:t>
      </w:r>
    </w:p>
    <w:p w14:paraId="3CFEDB0B">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2、</w:t>
      </w:r>
      <w:r>
        <w:rPr>
          <w:rFonts w:hint="eastAsia" w:ascii="仿宋" w:hAnsi="仿宋" w:eastAsia="仿宋" w:cs="仿宋"/>
          <w:b w:val="0"/>
          <w:bCs w:val="0"/>
          <w:sz w:val="32"/>
          <w:szCs w:val="32"/>
        </w:rPr>
        <w:t>强力换向防堵结构。</w:t>
      </w:r>
    </w:p>
    <w:p w14:paraId="55964EC5">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3、</w:t>
      </w:r>
      <w:r>
        <w:rPr>
          <w:rFonts w:hint="eastAsia" w:ascii="仿宋" w:hAnsi="仿宋" w:eastAsia="仿宋" w:cs="仿宋"/>
          <w:b w:val="0"/>
          <w:bCs w:val="0"/>
          <w:sz w:val="32"/>
          <w:szCs w:val="32"/>
        </w:rPr>
        <w:t>压力液量双安全保护。</w:t>
      </w:r>
    </w:p>
    <w:p w14:paraId="540EB619">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4、</w:t>
      </w:r>
      <w:r>
        <w:rPr>
          <w:rFonts w:hint="eastAsia" w:ascii="仿宋" w:hAnsi="仿宋" w:eastAsia="仿宋" w:cs="仿宋"/>
          <w:b w:val="0"/>
          <w:bCs w:val="0"/>
          <w:sz w:val="32"/>
          <w:szCs w:val="32"/>
        </w:rPr>
        <w:t>进出胃液量平衡控制功能。</w:t>
      </w:r>
    </w:p>
    <w:p w14:paraId="5B596730">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kern w:val="2"/>
          <w:sz w:val="32"/>
          <w:szCs w:val="32"/>
          <w:lang w:val="en-US" w:eastAsia="zh-CN" w:bidi="ar-SA"/>
        </w:rPr>
        <w:t>5、</w:t>
      </w:r>
      <w:r>
        <w:rPr>
          <w:rFonts w:hint="eastAsia" w:ascii="仿宋" w:hAnsi="仿宋" w:eastAsia="仿宋" w:cs="仿宋"/>
          <w:b w:val="0"/>
          <w:bCs w:val="0"/>
          <w:sz w:val="32"/>
          <w:szCs w:val="32"/>
        </w:rPr>
        <w:t>进出胃液路分离控制结构。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由内部完全独立的进出胃液路、外部独立进出胃插口和一次性使用连接管组成的进出胃分离控制结构。）</w:t>
      </w:r>
    </w:p>
    <w:p w14:paraId="2EF28D54">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6、</w:t>
      </w:r>
      <w:r>
        <w:rPr>
          <w:rFonts w:hint="eastAsia" w:ascii="仿宋" w:hAnsi="仿宋" w:eastAsia="仿宋" w:cs="仿宋"/>
          <w:b w:val="0"/>
          <w:bCs w:val="0"/>
          <w:sz w:val="32"/>
          <w:szCs w:val="32"/>
        </w:rPr>
        <w:t>进出胃动态模拟压力显示。</w:t>
      </w:r>
    </w:p>
    <w:p w14:paraId="3D955E3E">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kern w:val="2"/>
          <w:sz w:val="32"/>
          <w:szCs w:val="32"/>
          <w:lang w:val="en-US" w:eastAsia="zh-CN" w:bidi="ar-SA"/>
        </w:rPr>
        <w:t>7、</w:t>
      </w:r>
      <w:r>
        <w:rPr>
          <w:rFonts w:hint="eastAsia" w:ascii="仿宋" w:hAnsi="仿宋" w:eastAsia="仿宋" w:cs="仿宋"/>
          <w:b w:val="0"/>
          <w:bCs w:val="0"/>
          <w:sz w:val="32"/>
          <w:szCs w:val="32"/>
        </w:rPr>
        <w:t>无油膜式泵。</w:t>
      </w:r>
    </w:p>
    <w:p w14:paraId="451EA62F">
      <w:pPr>
        <w:keepNext w:val="0"/>
        <w:keepLines w:val="0"/>
        <w:pageBreakBefore w:val="0"/>
        <w:widowControl w:val="0"/>
        <w:numPr>
          <w:ilvl w:val="0"/>
          <w:numId w:val="0"/>
        </w:numPr>
        <w:kinsoku/>
        <w:wordWrap/>
        <w:overflowPunct/>
        <w:topLinePunct w:val="0"/>
        <w:autoSpaceDE/>
        <w:autoSpaceDN/>
        <w:bidi w:val="0"/>
        <w:adjustRightInd/>
        <w:spacing w:line="400" w:lineRule="exact"/>
        <w:ind w:left="420" w:leftChars="0" w:hanging="42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（二）</w:t>
      </w:r>
      <w:r>
        <w:rPr>
          <w:rFonts w:hint="eastAsia" w:ascii="仿宋" w:hAnsi="仿宋" w:eastAsia="仿宋" w:cs="仿宋"/>
          <w:b w:val="0"/>
          <w:bCs w:val="0"/>
          <w:sz w:val="32"/>
          <w:szCs w:val="32"/>
        </w:rPr>
        <w:t>技术参数</w:t>
      </w:r>
    </w:p>
    <w:p w14:paraId="76FD78A5">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1、</w:t>
      </w:r>
      <w:r>
        <w:rPr>
          <w:rFonts w:hint="eastAsia" w:ascii="仿宋" w:hAnsi="仿宋" w:eastAsia="仿宋" w:cs="仿宋"/>
          <w:b w:val="0"/>
          <w:bCs w:val="0"/>
          <w:sz w:val="32"/>
          <w:szCs w:val="32"/>
        </w:rPr>
        <w:t>洗胃压力：47kPa-55kPa</w:t>
      </w:r>
    </w:p>
    <w:p w14:paraId="053492BF">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2、</w:t>
      </w:r>
      <w:r>
        <w:rPr>
          <w:rFonts w:hint="eastAsia" w:ascii="仿宋" w:hAnsi="仿宋" w:eastAsia="仿宋" w:cs="仿宋"/>
          <w:b w:val="0"/>
          <w:bCs w:val="0"/>
          <w:sz w:val="32"/>
          <w:szCs w:val="32"/>
        </w:rPr>
        <w:t>出胃液量：≤450ml/次</w:t>
      </w:r>
    </w:p>
    <w:p w14:paraId="45A04129">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3、</w:t>
      </w:r>
      <w:r>
        <w:rPr>
          <w:rFonts w:hint="eastAsia" w:ascii="仿宋" w:hAnsi="仿宋" w:eastAsia="仿宋" w:cs="仿宋"/>
          <w:b w:val="0"/>
          <w:bCs w:val="0"/>
          <w:sz w:val="32"/>
          <w:szCs w:val="32"/>
        </w:rPr>
        <w:t>进胃液量：≤350ml/次</w:t>
      </w:r>
    </w:p>
    <w:p w14:paraId="41790535">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4、</w:t>
      </w:r>
      <w:r>
        <w:rPr>
          <w:rFonts w:hint="eastAsia" w:ascii="仿宋" w:hAnsi="仿宋" w:eastAsia="仿宋" w:cs="仿宋"/>
          <w:b w:val="0"/>
          <w:bCs w:val="0"/>
          <w:sz w:val="32"/>
          <w:szCs w:val="32"/>
        </w:rPr>
        <w:t>液量平衡：≤250ml/次</w:t>
      </w:r>
    </w:p>
    <w:p w14:paraId="067D9DBD">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5、</w:t>
      </w:r>
      <w:r>
        <w:rPr>
          <w:rFonts w:hint="eastAsia" w:ascii="仿宋" w:hAnsi="仿宋" w:eastAsia="仿宋" w:cs="仿宋"/>
          <w:b w:val="0"/>
          <w:bCs w:val="0"/>
          <w:sz w:val="32"/>
          <w:szCs w:val="32"/>
        </w:rPr>
        <w:t>噪声：≤65dB(A)</w:t>
      </w:r>
    </w:p>
    <w:p w14:paraId="7E1D6CAD">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kern w:val="2"/>
          <w:sz w:val="32"/>
          <w:szCs w:val="32"/>
          <w:lang w:val="en-US" w:eastAsia="zh-CN" w:bidi="ar-SA"/>
        </w:rPr>
        <w:t>6、</w:t>
      </w:r>
      <w:r>
        <w:rPr>
          <w:rFonts w:hint="eastAsia" w:ascii="仿宋" w:hAnsi="仿宋" w:eastAsia="仿宋" w:cs="仿宋"/>
          <w:b w:val="0"/>
          <w:bCs w:val="0"/>
          <w:sz w:val="32"/>
          <w:szCs w:val="32"/>
        </w:rPr>
        <w:t>输入功率：≤80VA</w:t>
      </w:r>
    </w:p>
    <w:p w14:paraId="697933D1">
      <w:pPr>
        <w:keepNext w:val="0"/>
        <w:keepLines w:val="0"/>
        <w:pageBreakBefore w:val="0"/>
        <w:widowControl w:val="0"/>
        <w:numPr>
          <w:ilvl w:val="1"/>
          <w:numId w:val="0"/>
        </w:numPr>
        <w:kinsoku/>
        <w:wordWrap/>
        <w:overflowPunct/>
        <w:topLinePunct w:val="0"/>
        <w:autoSpaceDE/>
        <w:autoSpaceDN/>
        <w:bidi w:val="0"/>
        <w:adjustRightInd/>
        <w:spacing w:line="400" w:lineRule="exact"/>
        <w:ind w:left="780" w:leftChars="0" w:hanging="360" w:firstLineChars="0"/>
        <w:textAlignment w:val="auto"/>
        <w:rPr>
          <w:rStyle w:val="12"/>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kern w:val="2"/>
          <w:sz w:val="32"/>
          <w:szCs w:val="32"/>
          <w:lang w:val="en-US" w:eastAsia="zh-CN" w:bidi="ar-SA"/>
        </w:rPr>
        <w:t>7、</w:t>
      </w:r>
      <w:r>
        <w:rPr>
          <w:rFonts w:hint="eastAsia" w:ascii="仿宋" w:hAnsi="仿宋" w:eastAsia="仿宋" w:cs="仿宋"/>
          <w:b w:val="0"/>
          <w:bCs w:val="0"/>
          <w:sz w:val="32"/>
          <w:szCs w:val="32"/>
        </w:rPr>
        <w:t>电源：AC220V±22V   50Hz±1Hz</w:t>
      </w:r>
    </w:p>
    <w:p w14:paraId="256E2D2D">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rPr>
      </w:pPr>
    </w:p>
    <w:p w14:paraId="48E61BC9">
      <w:pPr>
        <w:pStyle w:val="9"/>
        <w:keepNext w:val="0"/>
        <w:keepLines w:val="0"/>
        <w:pageBreakBefore w:val="0"/>
        <w:widowControl w:val="0"/>
        <w:kinsoku/>
        <w:wordWrap/>
        <w:overflowPunct/>
        <w:topLinePunct w:val="0"/>
        <w:autoSpaceDE/>
        <w:autoSpaceDN/>
        <w:bidi w:val="0"/>
        <w:adjustRightInd/>
        <w:spacing w:line="400" w:lineRule="exact"/>
        <w:ind w:firstLine="0" w:firstLineChars="0"/>
        <w:jc w:val="both"/>
        <w:textAlignment w:val="auto"/>
        <w:rPr>
          <w:rFonts w:hint="eastAsia" w:asciiTheme="majorEastAsia" w:hAnsiTheme="majorEastAsia" w:eastAsiaTheme="majorEastAsia" w:cstheme="majorEastAsia"/>
          <w:color w:val="auto"/>
          <w:sz w:val="36"/>
          <w:szCs w:val="36"/>
          <w:lang w:eastAsia="zh-CN"/>
        </w:rPr>
      </w:pPr>
      <w:r>
        <w:rPr>
          <w:rFonts w:hint="eastAsia" w:asciiTheme="majorEastAsia" w:hAnsiTheme="majorEastAsia" w:eastAsiaTheme="majorEastAsia" w:cstheme="majorEastAsia"/>
          <w:color w:val="auto"/>
          <w:sz w:val="36"/>
          <w:szCs w:val="36"/>
          <w:lang w:eastAsia="zh-CN"/>
        </w:rPr>
        <w:t>三、</w:t>
      </w:r>
      <w:r>
        <w:rPr>
          <w:rFonts w:hint="eastAsia" w:asciiTheme="majorEastAsia" w:hAnsiTheme="majorEastAsia" w:eastAsiaTheme="majorEastAsia" w:cstheme="majorEastAsia"/>
          <w:b/>
          <w:bCs/>
          <w:color w:val="auto"/>
          <w:sz w:val="36"/>
          <w:szCs w:val="36"/>
        </w:rPr>
        <w:t>便携式</w:t>
      </w:r>
      <w:r>
        <w:rPr>
          <w:rFonts w:hint="eastAsia" w:asciiTheme="majorEastAsia" w:hAnsiTheme="majorEastAsia" w:eastAsiaTheme="majorEastAsia" w:cstheme="majorEastAsia"/>
          <w:b/>
          <w:bCs/>
          <w:color w:val="auto"/>
          <w:sz w:val="36"/>
          <w:szCs w:val="36"/>
          <w:lang w:eastAsia="zh-CN"/>
        </w:rPr>
        <w:t>电动</w:t>
      </w:r>
      <w:r>
        <w:rPr>
          <w:rFonts w:hint="eastAsia" w:asciiTheme="majorEastAsia" w:hAnsiTheme="majorEastAsia" w:eastAsiaTheme="majorEastAsia" w:cstheme="majorEastAsia"/>
          <w:b/>
          <w:bCs/>
          <w:color w:val="auto"/>
          <w:sz w:val="36"/>
          <w:szCs w:val="36"/>
        </w:rPr>
        <w:t>吸引器</w:t>
      </w:r>
      <w:r>
        <w:rPr>
          <w:rFonts w:hint="eastAsia" w:asciiTheme="majorEastAsia" w:hAnsiTheme="majorEastAsia" w:eastAsiaTheme="majorEastAsia" w:cstheme="majorEastAsia"/>
          <w:b/>
          <w:bCs/>
          <w:color w:val="auto"/>
          <w:sz w:val="36"/>
          <w:szCs w:val="36"/>
          <w:lang w:eastAsia="zh-CN"/>
        </w:rPr>
        <w:t>要求</w:t>
      </w:r>
      <w:bookmarkStart w:id="2" w:name="_GoBack"/>
      <w:bookmarkEnd w:id="2"/>
    </w:p>
    <w:p w14:paraId="7EB11F73">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功能要求：</w:t>
      </w:r>
      <w:r>
        <w:rPr>
          <w:rFonts w:hint="eastAsia" w:ascii="仿宋" w:hAnsi="仿宋" w:eastAsia="仿宋" w:cs="仿宋"/>
          <w:color w:val="auto"/>
          <w:sz w:val="32"/>
          <w:szCs w:val="32"/>
        </w:rPr>
        <w:t>通过负压抽吸，快速清除患者呼吸道内的血液、唾液、呕吐物、痰液等异物，建立和维持通畅的气道，保证患者能够正常呼吸，</w:t>
      </w:r>
      <w:r>
        <w:rPr>
          <w:rFonts w:hint="eastAsia" w:ascii="仿宋" w:hAnsi="仿宋" w:eastAsia="仿宋" w:cs="仿宋"/>
          <w:color w:val="auto"/>
          <w:sz w:val="32"/>
          <w:szCs w:val="32"/>
          <w:lang w:eastAsia="zh-CN"/>
        </w:rPr>
        <w:t>及时</w:t>
      </w:r>
      <w:r>
        <w:rPr>
          <w:rFonts w:hint="eastAsia" w:ascii="仿宋" w:hAnsi="仿宋" w:eastAsia="仿宋" w:cs="仿宋"/>
          <w:color w:val="auto"/>
          <w:sz w:val="32"/>
          <w:szCs w:val="32"/>
        </w:rPr>
        <w:t>抢救生命</w:t>
      </w:r>
      <w:r>
        <w:rPr>
          <w:rFonts w:hint="eastAsia" w:ascii="仿宋" w:hAnsi="仿宋" w:eastAsia="仿宋" w:cs="仿宋"/>
          <w:color w:val="auto"/>
          <w:sz w:val="32"/>
          <w:szCs w:val="32"/>
          <w:lang w:eastAsia="zh-CN"/>
        </w:rPr>
        <w:t>。</w:t>
      </w:r>
    </w:p>
    <w:p w14:paraId="700FC640">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lang w:eastAsia="zh-CN"/>
        </w:rPr>
      </w:pPr>
    </w:p>
    <w:p w14:paraId="0FF441A5">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850" w:leftChars="0"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121212"/>
          <w:sz w:val="32"/>
          <w:szCs w:val="32"/>
          <w:lang w:val="en-US" w:eastAsia="zh-CN"/>
        </w:rPr>
        <w:t xml:space="preserve"> </w:t>
      </w:r>
      <w:r>
        <w:rPr>
          <w:rFonts w:hint="eastAsia" w:ascii="仿宋" w:hAnsi="仿宋" w:eastAsia="仿宋" w:cs="仿宋"/>
          <w:b/>
          <w:bCs/>
          <w:color w:val="auto"/>
          <w:sz w:val="44"/>
          <w:szCs w:val="44"/>
          <w:lang w:val="en-US" w:eastAsia="zh-CN"/>
        </w:rPr>
        <w:t>注明</w:t>
      </w:r>
      <w:r>
        <w:rPr>
          <w:rFonts w:hint="eastAsia" w:ascii="仿宋" w:hAnsi="仿宋" w:eastAsia="仿宋" w:cs="仿宋"/>
          <w:b/>
          <w:bCs/>
          <w:color w:val="auto"/>
          <w:sz w:val="44"/>
          <w:szCs w:val="44"/>
          <w:lang w:eastAsia="zh-CN"/>
        </w:rPr>
        <w:t>：</w:t>
      </w:r>
    </w:p>
    <w:p w14:paraId="7B1466A0">
      <w:pPr>
        <w:keepNext w:val="0"/>
        <w:keepLines w:val="0"/>
        <w:pageBreakBefore w:val="0"/>
        <w:widowControl w:val="0"/>
        <w:kinsoku/>
        <w:wordWrap/>
        <w:overflowPunct/>
        <w:topLinePunct w:val="0"/>
        <w:autoSpaceDE/>
        <w:autoSpaceDN/>
        <w:bidi w:val="0"/>
        <w:adjustRightInd/>
        <w:snapToGrid w:val="0"/>
        <w:spacing w:line="400" w:lineRule="exact"/>
        <w:ind w:left="-420" w:leftChars="-200" w:firstLine="640" w:firstLineChars="200"/>
        <w:jc w:val="both"/>
        <w:textAlignment w:val="auto"/>
        <w:rPr>
          <w:rFonts w:hint="eastAsia" w:ascii="仿宋" w:hAnsi="仿宋" w:eastAsia="仿宋" w:cs="仿宋"/>
          <w:b w:val="0"/>
          <w:bCs w:val="0"/>
          <w:color w:val="auto"/>
          <w:kern w:val="0"/>
          <w:sz w:val="32"/>
          <w:szCs w:val="32"/>
          <w:lang w:eastAsia="zh-CN" w:bidi="ar"/>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kern w:val="0"/>
          <w:sz w:val="32"/>
          <w:szCs w:val="32"/>
          <w:lang w:eastAsia="zh-CN" w:bidi="ar"/>
        </w:rPr>
        <w:t>投标人须保证原厂正品供货，提供的货物必须是全新、原装、合格正品，完全符合国家规定的质量标准和厂方的标准。货物完好，配件齐全。如验收时发现提供的产品与响应文件不符，视同虚假响应将并上报监管部门，由此产生的责任与后果均由成交人承担。</w:t>
      </w:r>
    </w:p>
    <w:p w14:paraId="5E715110">
      <w:pPr>
        <w:keepNext w:val="0"/>
        <w:keepLines w:val="0"/>
        <w:pageBreakBefore w:val="0"/>
        <w:widowControl w:val="0"/>
        <w:kinsoku/>
        <w:wordWrap/>
        <w:overflowPunct/>
        <w:topLinePunct w:val="0"/>
        <w:autoSpaceDE/>
        <w:autoSpaceDN/>
        <w:bidi w:val="0"/>
        <w:adjustRightInd/>
        <w:snapToGrid w:val="0"/>
        <w:spacing w:line="400" w:lineRule="exact"/>
        <w:ind w:left="-420" w:leftChars="-200" w:firstLine="640" w:firstLineChars="200"/>
        <w:jc w:val="both"/>
        <w:textAlignment w:val="auto"/>
        <w:rPr>
          <w:rStyle w:val="12"/>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color w:val="auto"/>
          <w:sz w:val="32"/>
          <w:szCs w:val="32"/>
          <w:lang w:val="en-US" w:eastAsia="zh-CN"/>
        </w:rPr>
        <w:t>2、标“★”项参数为实质性参数，必须全部满足，否则其投标无效；非标“★”项参数负偏离≤3项，否则按无效标处理；证明资料包括医疗器械注册证或医疗器械注册登记表或制造商的产品原厂彩页或产品技术白皮书或产品使用说明书或产品检测报告。</w:t>
      </w:r>
      <w:r>
        <w:rPr>
          <w:rFonts w:hint="eastAsia" w:ascii="仿宋" w:hAnsi="仿宋" w:eastAsia="仿宋" w:cs="仿宋"/>
          <w:b w:val="0"/>
          <w:bCs w:val="0"/>
          <w:color w:val="FF0000"/>
          <w:sz w:val="32"/>
          <w:szCs w:val="32"/>
          <w:lang w:val="en-US" w:eastAsia="zh-CN"/>
        </w:rPr>
        <w:t xml:space="preserve"> </w:t>
      </w:r>
    </w:p>
    <w:p w14:paraId="5780ABFC">
      <w:pPr>
        <w:pStyle w:val="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0A"/>
    <w:rsid w:val="000511BA"/>
    <w:rsid w:val="00071B55"/>
    <w:rsid w:val="001D2843"/>
    <w:rsid w:val="001E4A4A"/>
    <w:rsid w:val="001F3543"/>
    <w:rsid w:val="002065E3"/>
    <w:rsid w:val="0021041D"/>
    <w:rsid w:val="00215EB3"/>
    <w:rsid w:val="00216DDA"/>
    <w:rsid w:val="002B333B"/>
    <w:rsid w:val="002C48D6"/>
    <w:rsid w:val="002C5EA0"/>
    <w:rsid w:val="002D67C7"/>
    <w:rsid w:val="0031614E"/>
    <w:rsid w:val="003271D4"/>
    <w:rsid w:val="0035218E"/>
    <w:rsid w:val="003B308D"/>
    <w:rsid w:val="003C5BA0"/>
    <w:rsid w:val="003D2E02"/>
    <w:rsid w:val="00413C2E"/>
    <w:rsid w:val="0044463C"/>
    <w:rsid w:val="00482A0A"/>
    <w:rsid w:val="004857C4"/>
    <w:rsid w:val="004A55C6"/>
    <w:rsid w:val="004E1598"/>
    <w:rsid w:val="00565E62"/>
    <w:rsid w:val="005D1CD1"/>
    <w:rsid w:val="0060588C"/>
    <w:rsid w:val="00635F9B"/>
    <w:rsid w:val="0066213A"/>
    <w:rsid w:val="00685F39"/>
    <w:rsid w:val="006A3CCF"/>
    <w:rsid w:val="006B265A"/>
    <w:rsid w:val="006B2A77"/>
    <w:rsid w:val="006D70F6"/>
    <w:rsid w:val="007436A9"/>
    <w:rsid w:val="00760D6B"/>
    <w:rsid w:val="00763F04"/>
    <w:rsid w:val="0076554A"/>
    <w:rsid w:val="00777613"/>
    <w:rsid w:val="00794DAD"/>
    <w:rsid w:val="00795034"/>
    <w:rsid w:val="007A165B"/>
    <w:rsid w:val="007B2114"/>
    <w:rsid w:val="007D07A5"/>
    <w:rsid w:val="007F0202"/>
    <w:rsid w:val="007F2684"/>
    <w:rsid w:val="0083700A"/>
    <w:rsid w:val="008B5D00"/>
    <w:rsid w:val="008F79FD"/>
    <w:rsid w:val="00900D39"/>
    <w:rsid w:val="00906382"/>
    <w:rsid w:val="009763EC"/>
    <w:rsid w:val="00996D25"/>
    <w:rsid w:val="009C02AE"/>
    <w:rsid w:val="009E655A"/>
    <w:rsid w:val="00A300AA"/>
    <w:rsid w:val="00A70228"/>
    <w:rsid w:val="00AE5280"/>
    <w:rsid w:val="00B07B1D"/>
    <w:rsid w:val="00B8368D"/>
    <w:rsid w:val="00B847F1"/>
    <w:rsid w:val="00BC2225"/>
    <w:rsid w:val="00BE3328"/>
    <w:rsid w:val="00C046B9"/>
    <w:rsid w:val="00C17C05"/>
    <w:rsid w:val="00C47889"/>
    <w:rsid w:val="00C623AF"/>
    <w:rsid w:val="00D96F0D"/>
    <w:rsid w:val="00DC7BDE"/>
    <w:rsid w:val="00E15225"/>
    <w:rsid w:val="00E26EEA"/>
    <w:rsid w:val="00E71001"/>
    <w:rsid w:val="00E75A45"/>
    <w:rsid w:val="00E96FD9"/>
    <w:rsid w:val="00EB011D"/>
    <w:rsid w:val="00EC0E32"/>
    <w:rsid w:val="00ED3092"/>
    <w:rsid w:val="00F60989"/>
    <w:rsid w:val="00F65F7A"/>
    <w:rsid w:val="00F733B3"/>
    <w:rsid w:val="00FC362B"/>
    <w:rsid w:val="00FD5224"/>
    <w:rsid w:val="00FE33CA"/>
    <w:rsid w:val="00FF5FD8"/>
    <w:rsid w:val="03E4654B"/>
    <w:rsid w:val="046A5153"/>
    <w:rsid w:val="06E5268E"/>
    <w:rsid w:val="079A2E7C"/>
    <w:rsid w:val="17BB694D"/>
    <w:rsid w:val="26A971B5"/>
    <w:rsid w:val="27B8715C"/>
    <w:rsid w:val="29815A62"/>
    <w:rsid w:val="38754151"/>
    <w:rsid w:val="496917D7"/>
    <w:rsid w:val="4DAB0D72"/>
    <w:rsid w:val="59782D8C"/>
    <w:rsid w:val="6A0618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semiHidden/>
    <w:qFormat/>
    <w:locked/>
    <w:uiPriority w:val="99"/>
    <w:rPr>
      <w:rFonts w:cs="Times New Roman"/>
      <w:sz w:val="18"/>
      <w:szCs w:val="18"/>
    </w:rPr>
  </w:style>
  <w:style w:type="character" w:customStyle="1" w:styleId="8">
    <w:name w:val="页脚 字符"/>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styleId="10">
    <w:name w:val="Placeholder Text"/>
    <w:semiHidden/>
    <w:qFormat/>
    <w:uiPriority w:val="99"/>
    <w:rPr>
      <w:rFonts w:cs="Times New Roman"/>
      <w:color w:val="808080"/>
    </w:rPr>
  </w:style>
  <w:style w:type="character" w:customStyle="1" w:styleId="11">
    <w:name w:val="批注框文本 字符"/>
    <w:link w:val="2"/>
    <w:semiHidden/>
    <w:qFormat/>
    <w:locked/>
    <w:uiPriority w:val="99"/>
    <w:rPr>
      <w:rFonts w:cs="Times New Roman"/>
      <w:sz w:val="18"/>
      <w:szCs w:val="18"/>
    </w:rPr>
  </w:style>
  <w:style w:type="character" w:customStyle="1" w:styleId="12">
    <w:name w:val="apple-converted-space"/>
    <w:autoRedefine/>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mindray</Company>
  <Pages>2</Pages>
  <Words>901</Words>
  <Characters>1091</Characters>
  <Lines>7</Lines>
  <Paragraphs>2</Paragraphs>
  <TotalTime>7</TotalTime>
  <ScaleCrop>false</ScaleCrop>
  <LinksUpToDate>false</LinksUpToDate>
  <CharactersWithSpaces>1130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2013-12-25T02:36:00Z</dcterms:created>
  <dc:creator>50218154</dc:creator>
  <cp:lastModifiedBy>WPS_1641266832</cp:lastModifiedBy>
  <cp:lastPrinted>2025-09-05T06:45:45Z</cp:lastPrinted>
  <dcterms:modified xsi:type="dcterms:W3CDTF">2025-09-05T06:46:38Z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eyJoZGlkIjoiMTMwYjY4OWUwZmJjYzk4MzhmOTYxYTRlYWVlZTU4ODAiLCJ1c2VySWQiOiIxMzEyOTk4NzM2In0=</vt:lpwstr>
  </property>
  <property fmtid="{D5CDD505-2E9C-101B-9397-08002B2CF9AE}" pid="3" name="KSOProductBuildVer">
    <vt:lpwstr>2052-12.1.0.22215</vt:lpwstr>
  </property>
  <property fmtid="{D5CDD505-2E9C-101B-9397-08002B2CF9AE}" pid="4" name="ICV">
    <vt:lpwstr>B8078EC996754C8A9792E43A935ADB24_13</vt:lpwstr>
  </property>
</Properties>
</file>